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12"/>
          <w:szCs w:val="12"/>
        </w:rPr>
      </w:pPr>
      <w:r w:rsidDel="00000000" w:rsidR="00000000" w:rsidRPr="00000000">
        <w:rPr>
          <w:rFonts w:ascii="Arial" w:cs="Arial" w:eastAsia="Arial" w:hAnsi="Arial"/>
          <w:b w:val="1"/>
          <w:sz w:val="26"/>
          <w:szCs w:val="26"/>
          <w:rtl w:val="0"/>
        </w:rPr>
        <w:t xml:space="preserve">Quálitas Controladora anuncia su integración 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6"/>
          <w:szCs w:val="26"/>
          <w:rtl w:val="0"/>
        </w:rPr>
        <w:t xml:space="preserve">índice de Sustentabilidad Dow Jones MILA Pacific Alliance</w:t>
      </w:r>
      <w:r w:rsidDel="00000000" w:rsidR="00000000" w:rsidRPr="00000000">
        <w:rPr>
          <w:rtl w:val="0"/>
        </w:rPr>
      </w:r>
    </w:p>
    <w:p w:rsidR="00000000" w:rsidDel="00000000" w:rsidP="00000000" w:rsidRDefault="00000000" w:rsidRPr="00000000" w14:paraId="00000002">
      <w:pPr>
        <w:tabs>
          <w:tab w:val="left" w:pos="2977"/>
        </w:tabs>
        <w:jc w:val="both"/>
        <w:rPr>
          <w:rFonts w:ascii="Arial" w:cs="Arial" w:eastAsia="Arial" w:hAnsi="Arial"/>
        </w:rPr>
      </w:pPr>
      <w:r w:rsidDel="00000000" w:rsidR="00000000" w:rsidRPr="00000000">
        <w:rPr>
          <w:rFonts w:ascii="Arial" w:cs="Arial" w:eastAsia="Arial" w:hAnsi="Arial"/>
          <w:b w:val="1"/>
          <w:rtl w:val="0"/>
        </w:rPr>
        <w:t xml:space="preserve">Ciudad de México a 19 de noviembre de 2020 – </w:t>
      </w:r>
      <w:r w:rsidDel="00000000" w:rsidR="00000000" w:rsidRPr="00000000">
        <w:rPr>
          <w:rFonts w:ascii="Arial" w:cs="Arial" w:eastAsia="Arial" w:hAnsi="Arial"/>
          <w:rtl w:val="0"/>
        </w:rPr>
        <w:t xml:space="preserve">A partir del lunes 23 de noviembre, Quálitas formará parte del Índice Dow Jones Sustainability MILA Pacific Alliance, de acuerdo con la metodología del indicador. Con la integración al índice, la aseguradora mexicana reafirma sus esfuerzos por incorporar criterios de sustentabilidad, ambientales, sociales y de gobierno corporativo en su exitoso modelo de negocio. </w:t>
      </w:r>
    </w:p>
    <w:p w:rsidR="00000000" w:rsidDel="00000000" w:rsidP="00000000" w:rsidRDefault="00000000" w:rsidRPr="00000000" w14:paraId="00000003">
      <w:pPr>
        <w:tabs>
          <w:tab w:val="left" w:pos="2977"/>
        </w:tabs>
        <w:jc w:val="both"/>
        <w:rPr>
          <w:rFonts w:ascii="Arial" w:cs="Arial" w:eastAsia="Arial" w:hAnsi="Arial"/>
        </w:rPr>
      </w:pPr>
      <w:r w:rsidDel="00000000" w:rsidR="00000000" w:rsidRPr="00000000">
        <w:rPr>
          <w:rFonts w:ascii="Arial" w:cs="Arial" w:eastAsia="Arial" w:hAnsi="Arial"/>
          <w:rtl w:val="0"/>
        </w:rPr>
        <w:t xml:space="preserve">El Dow Jones Sustainability MILA Pacific Alliance Index selecciona a las mejores compañías de Chile, Colombia, Perú y México tomando en cuenta su desempeño económico, ambiental, social y de gobierno corporativo. </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i w:val="1"/>
          <w:rtl w:val="0"/>
        </w:rPr>
        <w:t xml:space="preserve">“Estamos muy orgullosos por este logro, resultado del trabajo y esfuerzo para consolidar a Quálitas como una empresa mexicana, líder no solo por su presencia, participación de mercado y excelentes resultados financieros, sino por nuestro compromiso con la sociedad y el medio ambiente”, </w:t>
      </w:r>
      <w:r w:rsidDel="00000000" w:rsidR="00000000" w:rsidRPr="00000000">
        <w:rPr>
          <w:rFonts w:ascii="Arial" w:cs="Arial" w:eastAsia="Arial" w:hAnsi="Arial"/>
          <w:rtl w:val="0"/>
        </w:rPr>
        <w:t xml:space="preserve">comenta Bernardo Risoul, Director de Finanzas de Quálitas. </w:t>
      </w:r>
    </w:p>
    <w:p w:rsidR="00000000" w:rsidDel="00000000" w:rsidP="00000000" w:rsidRDefault="00000000" w:rsidRPr="00000000" w14:paraId="00000005">
      <w:pPr>
        <w:tabs>
          <w:tab w:val="left" w:pos="2977"/>
        </w:tabs>
        <w:jc w:val="both"/>
        <w:rPr>
          <w:rFonts w:ascii="Arial" w:cs="Arial" w:eastAsia="Arial" w:hAnsi="Arial"/>
        </w:rPr>
      </w:pPr>
      <w:r w:rsidDel="00000000" w:rsidR="00000000" w:rsidRPr="00000000">
        <w:rPr>
          <w:rFonts w:ascii="Arial" w:cs="Arial" w:eastAsia="Arial" w:hAnsi="Arial"/>
          <w:rtl w:val="0"/>
        </w:rPr>
        <w:t xml:space="preserve">De manera continua, Quálitas busca generar valor hacia todos los integrantes de su cadena de valor, a través de diversas iniciativas basadas en los cinco pilares que conforman la Estrategia de Sustentabilidad: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tabs>
          <w:tab w:val="left" w:pos="2977"/>
        </w:tabs>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Innovación y eficiencia operativa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tabs>
          <w:tab w:val="left" w:pos="2977"/>
        </w:tabs>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Desarrollo del empleado</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tabs>
          <w:tab w:val="left" w:pos="2977"/>
        </w:tabs>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Desarrollo de integrantes de la cadena de valor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tabs>
          <w:tab w:val="left" w:pos="2977"/>
        </w:tabs>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Cultura de Prevención y Seguridad Vial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left" w:pos="2977"/>
        </w:tabs>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Ética y transparencia corporativa </w:t>
      </w:r>
    </w:p>
    <w:p w:rsidR="00000000" w:rsidDel="00000000" w:rsidP="00000000" w:rsidRDefault="00000000" w:rsidRPr="00000000" w14:paraId="0000000B">
      <w:pPr>
        <w:tabs>
          <w:tab w:val="left" w:pos="2977"/>
        </w:tabs>
        <w:jc w:val="both"/>
        <w:rPr>
          <w:rFonts w:ascii="Arial" w:cs="Arial" w:eastAsia="Arial" w:hAnsi="Arial"/>
        </w:rPr>
      </w:pPr>
      <w:r w:rsidDel="00000000" w:rsidR="00000000" w:rsidRPr="00000000">
        <w:rPr>
          <w:rFonts w:ascii="Arial" w:cs="Arial" w:eastAsia="Arial" w:hAnsi="Arial"/>
          <w:rtl w:val="0"/>
        </w:rPr>
        <w:t xml:space="preserve">Quálitas continúa apoyando a organizaciones de la sociedad civil para generar un impacto positivo en las comunidades en las que opera, además, brinda capacitación constante a sus empleados, clientes y agentes de seguros.</w:t>
      </w:r>
    </w:p>
    <w:p w:rsidR="00000000" w:rsidDel="00000000" w:rsidP="00000000" w:rsidRDefault="00000000" w:rsidRPr="00000000" w14:paraId="0000000C">
      <w:pPr>
        <w:tabs>
          <w:tab w:val="left" w:pos="2977"/>
        </w:tabs>
        <w:jc w:val="both"/>
        <w:rPr>
          <w:rFonts w:ascii="Arial" w:cs="Arial" w:eastAsia="Arial" w:hAnsi="Arial"/>
        </w:rPr>
      </w:pPr>
      <w:r w:rsidDel="00000000" w:rsidR="00000000" w:rsidRPr="00000000">
        <w:rPr>
          <w:rFonts w:ascii="Arial" w:cs="Arial" w:eastAsia="Arial" w:hAnsi="Arial"/>
          <w:rtl w:val="0"/>
        </w:rPr>
        <w:t xml:space="preserve">Por otro lado, es importante mencionar que Quálitas ha implementado diversas herramientas digitales que ayudan a los asegurados y los agentes a agilizar algunos de los servicios durante esta época de pandemia, cómo, por ejemplo, la aplicación QMóvil. </w:t>
      </w:r>
    </w:p>
    <w:p w:rsidR="00000000" w:rsidDel="00000000" w:rsidP="00000000" w:rsidRDefault="00000000" w:rsidRPr="00000000" w14:paraId="0000000D">
      <w:pPr>
        <w:tabs>
          <w:tab w:val="left" w:pos="2977"/>
        </w:tabs>
        <w:jc w:val="both"/>
        <w:rPr>
          <w:rFonts w:ascii="Arial" w:cs="Arial" w:eastAsia="Arial" w:hAnsi="Arial"/>
          <w:i w:val="1"/>
        </w:rPr>
      </w:pPr>
      <w:r w:rsidDel="00000000" w:rsidR="00000000" w:rsidRPr="00000000">
        <w:rPr>
          <w:rFonts w:ascii="Arial" w:cs="Arial" w:eastAsia="Arial" w:hAnsi="Arial"/>
          <w:rtl w:val="0"/>
        </w:rPr>
        <w:t xml:space="preserve">Maria Teresa Cosío, Gerente de Responsabilidad de Quálitas destacó que, </w:t>
      </w:r>
      <w:r w:rsidDel="00000000" w:rsidR="00000000" w:rsidRPr="00000000">
        <w:rPr>
          <w:rFonts w:ascii="Arial" w:cs="Arial" w:eastAsia="Arial" w:hAnsi="Arial"/>
          <w:i w:val="1"/>
          <w:rtl w:val="0"/>
        </w:rPr>
        <w:t xml:space="preserve">“La estrategia de sustentabilidad constituye la hoja de ruta que le permitirá a Quálitas avanzar en el ámbito social, ambiental y económico, desde un sólido gobierno corporativo, y con ello estar a la altura de lo que representa formar parte del Índice Dow Jones Sustainability MILA Pacific Alliance”</w:t>
      </w:r>
    </w:p>
    <w:p w:rsidR="00000000" w:rsidDel="00000000" w:rsidP="00000000" w:rsidRDefault="00000000" w:rsidRPr="00000000" w14:paraId="0000000E">
      <w:pPr>
        <w:tabs>
          <w:tab w:val="left" w:pos="2977"/>
        </w:tabs>
        <w:jc w:val="both"/>
        <w:rPr>
          <w:rFonts w:ascii="Arial" w:cs="Arial" w:eastAsia="Arial" w:hAnsi="Arial"/>
          <w:highlight w:val="yellow"/>
        </w:rPr>
      </w:pPr>
      <w:r w:rsidDel="00000000" w:rsidR="00000000" w:rsidRPr="00000000">
        <w:rPr>
          <w:rFonts w:ascii="Arial" w:cs="Arial" w:eastAsia="Arial" w:hAnsi="Arial"/>
          <w:rtl w:val="0"/>
        </w:rPr>
        <w:t xml:space="preserve">El listado de compañías que integran el índice de Sustentabilidad Dow Jones MILA Pacific Alliance se puede consultar en la </w:t>
      </w:r>
      <w:hyperlink r:id="rId7">
        <w:r w:rsidDel="00000000" w:rsidR="00000000" w:rsidRPr="00000000">
          <w:rPr>
            <w:rFonts w:ascii="Arial" w:cs="Arial" w:eastAsia="Arial" w:hAnsi="Arial"/>
            <w:color w:val="1155cc"/>
            <w:u w:val="single"/>
            <w:rtl w:val="0"/>
          </w:rPr>
          <w:t xml:space="preserve">página de Quálitas</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F">
      <w:pPr>
        <w:tabs>
          <w:tab w:val="left" w:pos="2977"/>
        </w:tabs>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ind w:right="49"/>
        <w:rPr>
          <w:rFonts w:ascii="Arial" w:cs="Arial" w:eastAsia="Arial" w:hAnsi="Arial"/>
          <w:b w:val="1"/>
        </w:rPr>
      </w:pPr>
      <w:r w:rsidDel="00000000" w:rsidR="00000000" w:rsidRPr="00000000">
        <w:rPr>
          <w:rFonts w:ascii="Arial" w:cs="Arial" w:eastAsia="Arial" w:hAnsi="Arial"/>
          <w:b w:val="1"/>
          <w:rtl w:val="0"/>
        </w:rPr>
        <w:t xml:space="preserve">Acerca de Quálitas</w:t>
        <w:br w:type="textWrapping"/>
      </w:r>
    </w:p>
    <w:p w:rsidR="00000000" w:rsidDel="00000000" w:rsidP="00000000" w:rsidRDefault="00000000" w:rsidRPr="00000000" w14:paraId="00000011">
      <w:pPr>
        <w:spacing w:after="0" w:line="240" w:lineRule="auto"/>
        <w:ind w:right="-93"/>
        <w:jc w:val="both"/>
        <w:rPr>
          <w:rFonts w:ascii="Arial" w:cs="Arial" w:eastAsia="Arial" w:hAnsi="Arial"/>
        </w:rPr>
      </w:pPr>
      <w:r w:rsidDel="00000000" w:rsidR="00000000" w:rsidRPr="00000000">
        <w:rPr>
          <w:rFonts w:ascii="Arial" w:cs="Arial" w:eastAsia="Arial" w:hAnsi="Arial"/>
          <w:rtl w:val="0"/>
        </w:rPr>
        <w:t xml:space="preserve">Con más de 26 años de experiencia, Quálitas Controladora es la compañía con mayor participación de mercado en la industria del seguro automotriz en México y cuenta con presencia en Estados Unidos, Perú, Costa Rica y El Salvador. Su modelo de negocio único, basado en la excelencia en el servicio y una estricta política de control de costos, le ha permitido ofrecer un servicio de primera calidad bajo la red de cobertura más grande del país. Quálitas cotiza en la Bolsa Mexicana de Valores bajo el símbolo “Q” (Bloomberg: Q*:MM)</w:t>
      </w:r>
    </w:p>
    <w:p w:rsidR="00000000" w:rsidDel="00000000" w:rsidP="00000000" w:rsidRDefault="00000000" w:rsidRPr="00000000" w14:paraId="00000012">
      <w:pPr>
        <w:spacing w:after="0" w:line="240" w:lineRule="auto"/>
        <w:ind w:right="-93"/>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Fonts w:ascii="Arial" w:cs="Arial" w:eastAsia="Arial" w:hAnsi="Arial"/>
          <w:b w:val="1"/>
          <w:rtl w:val="0"/>
        </w:rPr>
        <w:t xml:space="preserve">Contacto de prensa</w:t>
        <w:br w:type="textWrapping"/>
      </w: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Fonts w:ascii="Arial" w:cs="Arial" w:eastAsia="Arial" w:hAnsi="Arial"/>
          <w:rtl w:val="0"/>
        </w:rPr>
        <w:t xml:space="preserve">Fernanda Meza</w:t>
      </w:r>
    </w:p>
    <w:p w:rsidR="00000000" w:rsidDel="00000000" w:rsidP="00000000" w:rsidRDefault="00000000" w:rsidRPr="00000000" w14:paraId="00000016">
      <w:pPr>
        <w:spacing w:after="0" w:lineRule="auto"/>
        <w:rPr>
          <w:rFonts w:ascii="Arial" w:cs="Arial" w:eastAsia="Arial" w:hAnsi="Arial"/>
        </w:rPr>
      </w:pPr>
      <w:hyperlink r:id="rId8">
        <w:r w:rsidDel="00000000" w:rsidR="00000000" w:rsidRPr="00000000">
          <w:rPr>
            <w:rFonts w:ascii="Arial" w:cs="Arial" w:eastAsia="Arial" w:hAnsi="Arial"/>
            <w:color w:val="1155cc"/>
            <w:u w:val="single"/>
            <w:rtl w:val="0"/>
          </w:rPr>
          <w:t xml:space="preserve">fernanda.meza@another.co</w:t>
        </w:r>
      </w:hyperlink>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rPr>
      </w:pPr>
      <w:r w:rsidDel="00000000" w:rsidR="00000000" w:rsidRPr="00000000">
        <w:rPr>
          <w:rFonts w:ascii="Arial" w:cs="Arial" w:eastAsia="Arial" w:hAnsi="Arial"/>
          <w:rtl w:val="0"/>
        </w:rPr>
        <w:t xml:space="preserve">Cel. 6672 32 89 26</w:t>
      </w:r>
    </w:p>
    <w:p w:rsidR="00000000" w:rsidDel="00000000" w:rsidP="00000000" w:rsidRDefault="00000000" w:rsidRPr="00000000" w14:paraId="00000018">
      <w:pPr>
        <w:spacing w:after="0" w:line="240" w:lineRule="auto"/>
        <w:ind w:right="-93"/>
        <w:jc w:val="both"/>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1560" w:top="1560"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419"/>
        <w:tab w:val="right" w:pos="8838"/>
      </w:tabs>
      <w:spacing w:after="0" w:line="240" w:lineRule="auto"/>
      <w:jc w:val="right"/>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419"/>
        <w:tab w:val="right" w:pos="8838"/>
      </w:tabs>
      <w:spacing w:after="0" w:line="240" w:lineRule="auto"/>
      <w:jc w:val="right"/>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419"/>
        <w:tab w:val="right" w:pos="8838"/>
      </w:tabs>
      <w:spacing w:after="0" w:line="240" w:lineRule="auto"/>
      <w:ind w:firstLine="708"/>
      <w:rPr>
        <w:color w:val="00000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after="0" w:lineRule="auto"/>
      <w:jc w:val="right"/>
      <w:rPr>
        <w:color w:val="000000"/>
      </w:rPr>
    </w:pPr>
    <w:r w:rsidDel="00000000" w:rsidR="00000000" w:rsidRPr="00000000">
      <w:rPr>
        <w:rFonts w:ascii="Arial" w:cs="Arial" w:eastAsia="Arial" w:hAnsi="Arial"/>
      </w:rPr>
      <w:drawing>
        <wp:inline distB="114300" distT="114300" distL="114300" distR="114300">
          <wp:extent cx="1722112" cy="60347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2112" cy="6034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spacing w:line="240" w:lineRule="auto"/>
      <w:outlineLvl w:val="3"/>
    </w:pPr>
    <w:rPr>
      <w:rFonts w:ascii="Times New Roman" w:cs="Times New Roman" w:eastAsia="Times New Roman" w:hAnsi="Times New Roman"/>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qinversionistas.qualitas.com.mx/portal/wp-content/uploads/DJSIComponentsMILA_2020_.pdf" TargetMode="External"/><Relationship Id="rId8" Type="http://schemas.openxmlformats.org/officeDocument/2006/relationships/hyperlink" Target="mailto:fernanda.meza@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bTp8M9RVaXPXUH4l/wE97yRnpg==">AMUW2mXQ/VHaCLaDFe0ih0LHzg+AjbyywZQ+qGwZFm1eFzUOg0hysnxiSyra25NgfIZgcf04yh95ANhhVhVX3I86By87yVQhu+D1FMUTAVkko7th+3sPSnk=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2020-11-18T01:28:00Z</dcterms:created>
  <dc:creator>Rosaura Medina [subgte.comunicacion med. digit.]</dc:creator>
</cp:coreProperties>
</file>